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C3" w:rsidRPr="0030036D" w:rsidRDefault="003003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036D">
        <w:rPr>
          <w:lang w:val="ru-RU"/>
        </w:rPr>
        <w:br/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12.08.2024 г.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201/1</w:t>
      </w:r>
    </w:p>
    <w:p w:rsidR="007375C3" w:rsidRPr="0030036D" w:rsidRDefault="003003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центре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технологической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«Павловская СОШ»</w:t>
      </w:r>
      <w:bookmarkStart w:id="0" w:name="_GoBack"/>
      <w:bookmarkEnd w:id="0"/>
    </w:p>
    <w:p w:rsidR="007375C3" w:rsidRPr="0030036D" w:rsidRDefault="003003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«Павловская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критическо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уставных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«Павловская </w:t>
      </w:r>
      <w:proofErr w:type="gramStart"/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«Павловская СОШ</w:t>
      </w:r>
      <w:proofErr w:type="gramStart"/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«Павловская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допол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нительного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2.2.4.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зация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лагерей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75C3" w:rsidRPr="0030036D" w:rsidRDefault="0030036D" w:rsidP="003003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методическому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Центром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едагогических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расстановку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3.4.3.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3.4.4.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едение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C3" w:rsidRPr="0030036D" w:rsidRDefault="0030036D" w:rsidP="0030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противоречащие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003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375C3" w:rsidRPr="003003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036D"/>
    <w:rsid w:val="003514A0"/>
    <w:rsid w:val="004F7E17"/>
    <w:rsid w:val="005A05CE"/>
    <w:rsid w:val="00653AF6"/>
    <w:rsid w:val="007375C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AFCD"/>
  <w15:docId w15:val="{A13FB7C6-BCFE-4118-A314-CE80B5B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2024-12-10T11:32:00Z</dcterms:modified>
</cp:coreProperties>
</file>